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7E8DA849"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A92AD5">
        <w:rPr>
          <w:rFonts w:ascii="KievitPro-Bold" w:hAnsi="KievitPro-Bold"/>
        </w:rPr>
        <w:t xml:space="preserve">5 p.m. </w:t>
      </w:r>
      <w:r w:rsidR="00C4345A">
        <w:rPr>
          <w:rFonts w:ascii="KievitPro-Bold" w:hAnsi="KievitPro-Bold"/>
        </w:rPr>
        <w:t>Monday</w:t>
      </w:r>
      <w:r w:rsidR="00A92AD5">
        <w:rPr>
          <w:rFonts w:ascii="KievitPro-Bold" w:hAnsi="KievitPro-Bold"/>
        </w:rPr>
        <w:t xml:space="preserve">, January </w:t>
      </w:r>
      <w:r w:rsidR="00C4345A">
        <w:rPr>
          <w:rFonts w:ascii="KievitPro-Bold" w:hAnsi="KievitPro-Bold"/>
        </w:rPr>
        <w:t>31</w:t>
      </w:r>
      <w:r w:rsidR="007B4EB8" w:rsidRPr="00E91B26">
        <w:rPr>
          <w:rFonts w:ascii="KievitPro-Bold" w:hAnsi="KievitPro-Bold"/>
        </w:rPr>
        <w:t>, 20</w:t>
      </w:r>
      <w:r w:rsidR="00B45BB8">
        <w:rPr>
          <w:rFonts w:ascii="KievitPro-Bold" w:hAnsi="KievitPro-Bold"/>
        </w:rPr>
        <w:t>2</w:t>
      </w:r>
      <w:r w:rsidR="00C4345A">
        <w:rPr>
          <w:rFonts w:ascii="KievitPro-Bold" w:hAnsi="KievitPro-Bold"/>
        </w:rPr>
        <w:t>2</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1120A6E7" w:rsidR="007B4EB8" w:rsidRDefault="007B4EB8" w:rsidP="007B4EB8">
      <w:pPr>
        <w:rPr>
          <w:rFonts w:ascii="KievitPro-Regular" w:hAnsi="KievitPro-Regular"/>
        </w:rPr>
      </w:pPr>
      <w:r w:rsidRPr="007B4EB8">
        <w:rPr>
          <w:rFonts w:ascii="KievitPro-Regular" w:hAnsi="KievitPro-Regular"/>
        </w:rPr>
        <w:t xml:space="preserve">The Center for the Study of Women in Society invites applications for research that reflects scholarly and/or creative work on </w:t>
      </w:r>
      <w:r w:rsidR="00B63380">
        <w:rPr>
          <w:rFonts w:ascii="KievitPro-Regular" w:hAnsi="KievitPro-Regular"/>
        </w:rPr>
        <w:t xml:space="preserve">any aspect of the study of </w:t>
      </w:r>
      <w:r w:rsidRPr="007B4EB8">
        <w:rPr>
          <w:rFonts w:ascii="KievitPro-Regular" w:hAnsi="KievitPro-Regular"/>
        </w:rPr>
        <w:t xml:space="preserve">women and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w:t>
      </w:r>
      <w:r w:rsidR="00B63380">
        <w:rPr>
          <w:rFonts w:ascii="KievitPro-Regular" w:hAnsi="KievitPro-Regular"/>
        </w:rPr>
        <w:t>and/or gender 2</w:t>
      </w:r>
      <w:r w:rsidRPr="007B4EB8">
        <w:rPr>
          <w:rFonts w:ascii="KievitPro-Regular" w:hAnsi="KievitPro-Regular"/>
        </w:rPr>
        <w:t>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2B32E03F" w:rsidR="003E30FF" w:rsidRPr="007B4EB8" w:rsidRDefault="003E30FF" w:rsidP="003E30FF">
      <w:pPr>
        <w:rPr>
          <w:rFonts w:ascii="KievitPro-Regular" w:hAnsi="KievitPro-Regular"/>
        </w:rPr>
      </w:pPr>
      <w:r>
        <w:rPr>
          <w:rFonts w:ascii="KievitPro-Regular" w:hAnsi="KievitPro-Regular"/>
        </w:rPr>
        <w:t>CSWS 20</w:t>
      </w:r>
      <w:r w:rsidR="00B45BB8">
        <w:rPr>
          <w:rFonts w:ascii="KievitPro-Regular" w:hAnsi="KievitPro-Regular"/>
        </w:rPr>
        <w:t>2</w:t>
      </w:r>
      <w:r w:rsidR="00C4345A">
        <w:rPr>
          <w:rFonts w:ascii="KievitPro-Regular" w:hAnsi="KievitPro-Regular"/>
        </w:rPr>
        <w:t>2</w:t>
      </w:r>
      <w:r>
        <w:rPr>
          <w:rFonts w:ascii="KievitPro-Regular" w:hAnsi="KievitPro-Regular"/>
        </w:rPr>
        <w:t>-</w:t>
      </w:r>
      <w:r w:rsidR="00C4345A">
        <w:rPr>
          <w:rFonts w:ascii="KievitPro-Regular" w:hAnsi="KievitPro-Regular"/>
        </w:rPr>
        <w:t>3</w:t>
      </w:r>
      <w:r>
        <w:rPr>
          <w:rFonts w:ascii="KievitPro-Regular" w:hAnsi="KievitPro-Regular"/>
        </w:rPr>
        <w:t xml:space="preserve"> Faculty/Staff Research Grant funds are f</w:t>
      </w:r>
      <w:r w:rsidRPr="007B4EB8">
        <w:rPr>
          <w:rFonts w:ascii="KievitPro-Regular" w:hAnsi="KievitPro-Regular"/>
        </w:rPr>
        <w:t>or use between July 1, 20</w:t>
      </w:r>
      <w:r w:rsidR="00B45BB8">
        <w:rPr>
          <w:rFonts w:ascii="KievitPro-Regular" w:hAnsi="KievitPro-Regular"/>
        </w:rPr>
        <w:t>2</w:t>
      </w:r>
      <w:r w:rsidR="00C4345A">
        <w:rPr>
          <w:rFonts w:ascii="KievitPro-Regular" w:hAnsi="KievitPro-Regular"/>
        </w:rPr>
        <w:t>2</w:t>
      </w:r>
      <w:r w:rsidRPr="007B4EB8">
        <w:rPr>
          <w:rFonts w:ascii="KievitPro-Regular" w:hAnsi="KievitPro-Regular"/>
        </w:rPr>
        <w:t xml:space="preserve"> and June 3</w:t>
      </w:r>
      <w:r w:rsidR="00C4345A">
        <w:rPr>
          <w:rFonts w:ascii="KievitPro-Regular" w:hAnsi="KievitPro-Regular"/>
        </w:rPr>
        <w:t>0</w:t>
      </w:r>
      <w:r w:rsidRPr="007B4EB8">
        <w:rPr>
          <w:rFonts w:ascii="KievitPro-Regular" w:hAnsi="KievitPro-Regular"/>
        </w:rPr>
        <w:t>, 20</w:t>
      </w:r>
      <w:r w:rsidR="007F721A">
        <w:rPr>
          <w:rFonts w:ascii="KievitPro-Regular" w:hAnsi="KievitPro-Regular"/>
        </w:rPr>
        <w:t>2</w:t>
      </w:r>
      <w:r w:rsidR="00C4345A">
        <w:rPr>
          <w:rFonts w:ascii="KievitPro-Regular" w:hAnsi="KievitPro-Regular"/>
        </w:rPr>
        <w:t>3</w:t>
      </w:r>
      <w:r>
        <w:rPr>
          <w:rFonts w:ascii="KievitPro-Regular" w:hAnsi="KievitPro-Regular"/>
        </w:rPr>
        <w:t>.</w:t>
      </w:r>
    </w:p>
    <w:p w14:paraId="15DC0A8F" w14:textId="2E00E0E6"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31F2ACA" w14:textId="3427CE49" w:rsidR="007B4EB8" w:rsidRPr="007B4EB8" w:rsidRDefault="00B339BB" w:rsidP="004C0215">
      <w:pPr>
        <w:rPr>
          <w:rFonts w:ascii="KievitPro-Regular" w:hAnsi="KievitPro-Regular"/>
          <w:b/>
        </w:rPr>
      </w:pPr>
      <w:r>
        <w:rPr>
          <w:rFonts w:ascii="KievitPro-Regular" w:hAnsi="KievitPro-Regular"/>
        </w:rPr>
        <w:t>F</w:t>
      </w:r>
      <w:r w:rsidR="007B4EB8" w:rsidRPr="007B4EB8">
        <w:rPr>
          <w:rFonts w:ascii="KievitPro-Regular" w:hAnsi="KievitPro-Regular"/>
        </w:rPr>
        <w:t xml:space="preserve">ull-time University of Oregon faculty and University of Oregon </w:t>
      </w:r>
      <w:r w:rsidR="004C0215" w:rsidRPr="00B339BB">
        <w:rPr>
          <w:rFonts w:ascii="KievitPro-Regular" w:hAnsi="KievitPro-Regular"/>
        </w:rPr>
        <w:t>staff</w:t>
      </w:r>
      <w:r w:rsidR="00045B4A" w:rsidRPr="00B339BB">
        <w:rPr>
          <w:rFonts w:ascii="KievitPro-Regular" w:hAnsi="KievitPro-Regular"/>
        </w:rPr>
        <w:t xml:space="preserve"> who have not received a CSWS research grant in the past </w:t>
      </w:r>
      <w:r>
        <w:rPr>
          <w:rFonts w:ascii="KievitPro-Regular" w:hAnsi="KievitPro-Regular"/>
        </w:rPr>
        <w:t xml:space="preserve">two </w:t>
      </w:r>
      <w:r w:rsidR="00045B4A" w:rsidRPr="00B339BB">
        <w:rPr>
          <w:rFonts w:ascii="KievitPro-Regular" w:hAnsi="KievitPro-Regular"/>
        </w:rPr>
        <w:t>year</w:t>
      </w:r>
      <w:r>
        <w:rPr>
          <w:rFonts w:ascii="KievitPro-Regular" w:hAnsi="KievitPro-Regular"/>
        </w:rPr>
        <w:t>s</w:t>
      </w:r>
      <w:r w:rsidR="004C0215">
        <w:rPr>
          <w:rFonts w:ascii="KievitPro-Regular" w:hAnsi="KievitPro-Regular"/>
        </w:rPr>
        <w:t xml:space="preserve"> </w:t>
      </w:r>
      <w:r w:rsidR="007B4EB8" w:rsidRPr="007B4EB8">
        <w:rPr>
          <w:rFonts w:ascii="KievitPro-Regular" w:hAnsi="KievitPro-Regular"/>
        </w:rPr>
        <w:t xml:space="preserve">with a terminal degree in the discipline appropriate to the focus of the application are eligible for research support grants. </w:t>
      </w:r>
      <w:r w:rsidR="004C0215">
        <w:rPr>
          <w:rFonts w:ascii="KievitPro-Regular" w:hAnsi="KievitPro-Regular"/>
        </w:rPr>
        <w:t>Faculty and staff</w:t>
      </w:r>
      <w:r w:rsidR="007B4EB8" w:rsidRPr="007B4EB8">
        <w:rPr>
          <w:rFonts w:ascii="KievitPro-Regular" w:hAnsi="KievitPro-Regular"/>
        </w:rPr>
        <w:t xml:space="preserve"> must be employed by the UO in the year they apply and have a reasonable expectation of employment at UO for the following year. </w:t>
      </w:r>
      <w:r w:rsidR="004C0215">
        <w:rPr>
          <w:rFonts w:ascii="KievitPro-Regular" w:hAnsi="KievitPro-Regular"/>
        </w:rPr>
        <w:t xml:space="preserve">Priority will be given to </w:t>
      </w:r>
      <w:r w:rsidR="004C0215" w:rsidRPr="007B4EB8">
        <w:rPr>
          <w:rFonts w:ascii="KievitPro-Regular" w:hAnsi="KievitPro-Regular"/>
        </w:rPr>
        <w:t>CSWS affiliate</w:t>
      </w:r>
      <w:r w:rsidR="004C0215">
        <w:rPr>
          <w:rFonts w:ascii="KievitPro-Regular" w:hAnsi="KievitPro-Regular"/>
        </w:rPr>
        <w:t>s</w:t>
      </w:r>
      <w:r w:rsidR="004C0215" w:rsidRPr="007B4EB8">
        <w:rPr>
          <w:rFonts w:ascii="KievitPro-Regular" w:hAnsi="KievitPro-Regular"/>
        </w:rPr>
        <w:t>.</w:t>
      </w:r>
      <w:r w:rsidR="004C0215">
        <w:rPr>
          <w:rFonts w:ascii="KievitPro-Regular" w:hAnsi="KievitPro-Regular"/>
        </w:rPr>
        <w:t xml:space="preserve"> </w:t>
      </w:r>
      <w:r w:rsidR="007B4EB8" w:rsidRPr="007B4EB8">
        <w:rPr>
          <w:rFonts w:ascii="KievitPro-Regular" w:hAnsi="KievitPro-Regular"/>
        </w:rPr>
        <w:t>CSWS staff members are NOT eligible to apply.</w:t>
      </w:r>
      <w:r w:rsidR="007B4EB8" w:rsidRPr="007B4EB8">
        <w:rPr>
          <w:rFonts w:ascii="KievitPro-Regular" w:hAnsi="KievitPro-Regular"/>
          <w:b/>
        </w:rPr>
        <w:t xml:space="preserve">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7F9DD627" w14:textId="652D9D30" w:rsidR="00B63380" w:rsidRDefault="007B4EB8" w:rsidP="00E3085D">
      <w:pPr>
        <w:pStyle w:val="ListParagraph"/>
        <w:numPr>
          <w:ilvl w:val="0"/>
          <w:numId w:val="13"/>
        </w:numPr>
        <w:rPr>
          <w:rFonts w:ascii="KievitPro-Regular" w:hAnsi="KievitPro-Regular"/>
        </w:rPr>
      </w:pPr>
      <w:r w:rsidRPr="00E3085D">
        <w:rPr>
          <w:rFonts w:ascii="KievitPro-Bold" w:hAnsi="KievitPro-Bold"/>
        </w:rPr>
        <w:t>Funded Amount:</w:t>
      </w:r>
      <w:r w:rsidR="00704A4A" w:rsidRPr="00E3085D">
        <w:rPr>
          <w:rFonts w:ascii="KievitPro-Regular" w:hAnsi="KievitPro-Regular"/>
          <w:b/>
        </w:rPr>
        <w:t xml:space="preserve"> </w:t>
      </w:r>
      <w:r w:rsidR="00E3085D" w:rsidRPr="00E3085D">
        <w:rPr>
          <w:rFonts w:ascii="KievitPro-Regular" w:hAnsi="KievitPro-Regular"/>
        </w:rPr>
        <w:t xml:space="preserve">Grant awards will not exceed $6000.00. </w:t>
      </w:r>
      <w:r w:rsidR="00B63380">
        <w:rPr>
          <w:rFonts w:ascii="KievitPro-Regular" w:hAnsi="KievitPro-Regular"/>
        </w:rPr>
        <w:br/>
      </w:r>
    </w:p>
    <w:p w14:paraId="0D3EBCD6" w14:textId="6A3D4C7A" w:rsidR="00E3085D" w:rsidRPr="00E3085D" w:rsidRDefault="00B63380" w:rsidP="00E3085D">
      <w:pPr>
        <w:pStyle w:val="ListParagraph"/>
        <w:numPr>
          <w:ilvl w:val="0"/>
          <w:numId w:val="13"/>
        </w:numPr>
        <w:rPr>
          <w:rFonts w:ascii="KievitPro-Regular" w:hAnsi="KievitPro-Regular"/>
        </w:rPr>
      </w:pPr>
      <w:r w:rsidRPr="00B63380">
        <w:rPr>
          <w:rFonts w:ascii="KievitPro-Regular" w:hAnsi="KievitPro-Regular"/>
          <w:b/>
          <w:bCs/>
        </w:rPr>
        <w:t>Disbursal of Funds:</w:t>
      </w:r>
      <w:r>
        <w:rPr>
          <w:rFonts w:ascii="KievitPro-Regular" w:hAnsi="KievitPro-Regular"/>
        </w:rPr>
        <w:t xml:space="preserve"> Funds</w:t>
      </w:r>
      <w:r w:rsidR="00E3085D" w:rsidRPr="00E3085D">
        <w:rPr>
          <w:rFonts w:ascii="KievitPro-Regular" w:hAnsi="KievitPro-Regular"/>
        </w:rPr>
        <w:t xml:space="preserve"> will be transferred to your home department (*not* your ASA account). </w:t>
      </w:r>
      <w:r w:rsidRPr="00B63380">
        <w:rPr>
          <w:rFonts w:ascii="KievitPro-Regular" w:hAnsi="KievitPro-Regular"/>
          <w:b/>
          <w:bCs/>
        </w:rPr>
        <w:t>The</w:t>
      </w:r>
      <w:r>
        <w:rPr>
          <w:rFonts w:ascii="KievitPro-Regular" w:hAnsi="KievitPro-Regular"/>
        </w:rPr>
        <w:t xml:space="preserve"> </w:t>
      </w:r>
      <w:r w:rsidR="00C4345A">
        <w:rPr>
          <w:rFonts w:ascii="KievitPro-Regular" w:hAnsi="KievitPro-Regular"/>
          <w:b/>
          <w:bCs/>
        </w:rPr>
        <w:t xml:space="preserve">CSWS business manager will </w:t>
      </w:r>
      <w:r w:rsidR="00176ECF">
        <w:rPr>
          <w:rFonts w:ascii="KievitPro-Regular" w:hAnsi="KievitPro-Regular"/>
          <w:b/>
          <w:bCs/>
        </w:rPr>
        <w:t>work with</w:t>
      </w:r>
      <w:r w:rsidR="00C4345A">
        <w:rPr>
          <w:rFonts w:ascii="KievitPro-Regular" w:hAnsi="KievitPro-Regular"/>
          <w:b/>
          <w:bCs/>
        </w:rPr>
        <w:t xml:space="preserve"> your home unit’s business manager to create an index to transfer funds.</w:t>
      </w:r>
      <w:r w:rsidR="00E3085D" w:rsidRPr="00E3085D">
        <w:rPr>
          <w:rFonts w:ascii="KievitPro-Regular" w:hAnsi="KievitPro-Regular"/>
          <w:b/>
          <w:bCs/>
        </w:rPr>
        <w:t xml:space="preserve"> </w:t>
      </w:r>
      <w:r w:rsidR="00E3085D" w:rsidRPr="00E3085D">
        <w:rPr>
          <w:rFonts w:ascii="KievitPro-Regular" w:hAnsi="KievitPro-Regular"/>
        </w:rPr>
        <w:t xml:space="preserve">If you are applying for </w:t>
      </w:r>
      <w:r w:rsidR="00C4345A">
        <w:rPr>
          <w:rFonts w:ascii="KievitPro-Regular" w:hAnsi="KievitPro-Regular"/>
        </w:rPr>
        <w:t xml:space="preserve">release from teaching, you may need to find supplementary funds to cover the cost of a release and OPE. </w:t>
      </w:r>
      <w:r w:rsidR="00E3085D" w:rsidRPr="00E3085D">
        <w:rPr>
          <w:rFonts w:ascii="KievitPro-Regular" w:hAnsi="KievitPro-Regular"/>
        </w:rPr>
        <w:t xml:space="preserve"> </w:t>
      </w:r>
      <w:r w:rsidR="00C4345A">
        <w:rPr>
          <w:rFonts w:ascii="KievitPro-Regular" w:hAnsi="KievitPro-Regular"/>
        </w:rPr>
        <w:t xml:space="preserve">Please </w:t>
      </w:r>
      <w:r w:rsidR="00E3085D" w:rsidRPr="00E3085D">
        <w:rPr>
          <w:rFonts w:ascii="KievitPro-Regular" w:hAnsi="KievitPro-Regular"/>
        </w:rPr>
        <w:t xml:space="preserve">see “use of funds” below for information about OPE. </w:t>
      </w:r>
    </w:p>
    <w:p w14:paraId="747EE053" w14:textId="3ADF0B86" w:rsidR="00704A4A" w:rsidRPr="00E3085D" w:rsidRDefault="00704A4A" w:rsidP="00E3085D">
      <w:pPr>
        <w:pStyle w:val="ListParagraph"/>
        <w:rPr>
          <w:rFonts w:ascii="KievitPro-Regular" w:hAnsi="KievitPro-Regular"/>
        </w:rPr>
      </w:pPr>
    </w:p>
    <w:p w14:paraId="426DA087" w14:textId="08524A38" w:rsidR="007B4EB8" w:rsidRPr="00704A4A" w:rsidRDefault="007B4EB8" w:rsidP="00704A4A">
      <w:pPr>
        <w:pStyle w:val="ListParagraph"/>
        <w:numPr>
          <w:ilvl w:val="0"/>
          <w:numId w:val="13"/>
        </w:numPr>
        <w:rPr>
          <w:rFonts w:ascii="KievitPro-Regular" w:hAnsi="KievitPro-Regular"/>
        </w:rPr>
      </w:pPr>
      <w:r w:rsidRPr="00704A4A">
        <w:rPr>
          <w:rFonts w:ascii="KievitPro-Bold" w:hAnsi="KievitPro-Bold"/>
        </w:rPr>
        <w:t>IRB Approval:</w:t>
      </w:r>
      <w:r w:rsidRPr="00704A4A">
        <w:rPr>
          <w:rFonts w:ascii="KievitPro-Regular" w:hAnsi="KievitPro-Regular"/>
        </w:rPr>
        <w:t xml:space="preserve"> If the proposed research involves human subjects,</w:t>
      </w:r>
      <w:r w:rsidR="00B63380">
        <w:rPr>
          <w:rFonts w:ascii="KievitPro-Regular" w:hAnsi="KievitPro-Regular"/>
        </w:rPr>
        <w:t xml:space="preserve"> funds will be disbursed after IRB approval is obtained.</w:t>
      </w:r>
      <w:r w:rsidRPr="00704A4A">
        <w:rPr>
          <w:rFonts w:ascii="KievitPro-Regular" w:hAnsi="KievitPro-Regular"/>
        </w:rPr>
        <w:t xml:space="preserve"> </w:t>
      </w:r>
      <w:r w:rsidR="00B63380">
        <w:rPr>
          <w:rFonts w:ascii="KievitPro-Regular" w:hAnsi="KievitPro-Regular"/>
        </w:rPr>
        <w:t>T</w:t>
      </w:r>
      <w:r w:rsidRPr="00704A4A">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32B1EE17" w14:textId="2EA95380" w:rsidR="00FC722A" w:rsidRDefault="007B4EB8" w:rsidP="00FC722A">
      <w:pPr>
        <w:pStyle w:val="ListParagraph"/>
        <w:numPr>
          <w:ilvl w:val="0"/>
          <w:numId w:val="15"/>
        </w:numPr>
        <w:rPr>
          <w:rFonts w:ascii="KievitPro-Regular" w:hAnsi="KievitPro-Regular"/>
        </w:rPr>
      </w:pPr>
      <w:r w:rsidRPr="00FC722A">
        <w:rPr>
          <w:rFonts w:ascii="KievitPro-Bold" w:hAnsi="KievitPro-Bold"/>
        </w:rPr>
        <w:t>Personnel expenses:</w:t>
      </w:r>
      <w:r w:rsidR="00FC722A">
        <w:rPr>
          <w:rFonts w:ascii="KievitPro-Regular" w:hAnsi="KievitPro-Regular"/>
        </w:rPr>
        <w:t xml:space="preserve"> These may include Graduate Employee (GE)</w:t>
      </w:r>
      <w:r w:rsidRPr="00FC722A">
        <w:rPr>
          <w:rFonts w:ascii="KievitPro-Regular" w:hAnsi="KievitPro-Regular"/>
        </w:rPr>
        <w:t xml:space="preserve"> assistance, consultant fees, faculty summer salary, and faculty release time from the academic year</w:t>
      </w:r>
      <w:r w:rsidR="00BC7EAC">
        <w:rPr>
          <w:rFonts w:ascii="KievitPro-Regular" w:hAnsi="KievitPro-Regular"/>
        </w:rPr>
        <w:t xml:space="preserve">. </w:t>
      </w:r>
      <w:r w:rsidR="00C4345A">
        <w:rPr>
          <w:rFonts w:ascii="KievitPro-Regular" w:hAnsi="KievitPro-Regular"/>
        </w:rPr>
        <w:t xml:space="preserve">Since the grant does not exceed $6000, any additional funds towards a course </w:t>
      </w:r>
      <w:r w:rsidR="00C4345A">
        <w:rPr>
          <w:rFonts w:ascii="KievitPro-Regular" w:hAnsi="KievitPro-Regular"/>
        </w:rPr>
        <w:lastRenderedPageBreak/>
        <w:t xml:space="preserve">release during the academic year, as well as OPE, needs to be supplemented by faculty. </w:t>
      </w:r>
      <w:r w:rsidRPr="00FC722A">
        <w:rPr>
          <w:rFonts w:ascii="KievitPro-Regular" w:hAnsi="KievitPro-Regular"/>
        </w:rPr>
        <w:t xml:space="preserve">The grant applicant is the only person eligible for faculty release time. </w:t>
      </w:r>
    </w:p>
    <w:p w14:paraId="7B2CBF16" w14:textId="77777777" w:rsidR="00FC722A" w:rsidRPr="00FC722A" w:rsidRDefault="00FC722A" w:rsidP="00FC722A">
      <w:pPr>
        <w:pStyle w:val="ListParagraph"/>
        <w:rPr>
          <w:rFonts w:ascii="KievitPro-Regular" w:hAnsi="KievitPro-Regular"/>
        </w:rPr>
      </w:pPr>
    </w:p>
    <w:p w14:paraId="113C960C" w14:textId="584E3B16" w:rsidR="00FC722A" w:rsidRPr="00FC722A" w:rsidRDefault="007B4EB8" w:rsidP="00FC722A">
      <w:pPr>
        <w:pStyle w:val="ListParagraph"/>
        <w:numPr>
          <w:ilvl w:val="0"/>
          <w:numId w:val="15"/>
        </w:numPr>
        <w:rPr>
          <w:rFonts w:ascii="KievitPro-Regular" w:hAnsi="KievitPro-Regular"/>
        </w:rPr>
      </w:pPr>
      <w:r w:rsidRPr="00FC722A">
        <w:rPr>
          <w:rFonts w:ascii="KievitPro-Bold" w:hAnsi="KievitPro-Bold"/>
        </w:rPr>
        <w:t>OPE</w:t>
      </w:r>
      <w:r w:rsidR="00C4345A">
        <w:rPr>
          <w:rFonts w:ascii="KievitPro-Bold" w:hAnsi="KievitPro-Bold"/>
        </w:rPr>
        <w:t xml:space="preserve"> and Supplementary Funds </w:t>
      </w:r>
      <w:r w:rsidRPr="00FC722A">
        <w:rPr>
          <w:rFonts w:ascii="KievitPro-Bold" w:hAnsi="KievitPro-Bold"/>
        </w:rPr>
        <w:t>Policy:</w:t>
      </w:r>
      <w:r w:rsidRPr="00FC722A">
        <w:rPr>
          <w:rFonts w:ascii="KievitPro-Regular" w:hAnsi="KievitPro-Regular"/>
        </w:rPr>
        <w:t xml:space="preserve"> Please submit documentation of </w:t>
      </w:r>
      <w:r w:rsidR="00C4345A">
        <w:rPr>
          <w:rFonts w:ascii="KievitPro-Regular" w:hAnsi="KievitPro-Regular"/>
        </w:rPr>
        <w:t xml:space="preserve">supplementary fund and/or </w:t>
      </w:r>
      <w:r w:rsidRPr="00FC722A">
        <w:rPr>
          <w:rFonts w:ascii="KievitPro-Regular" w:hAnsi="KievitPro-Regular"/>
        </w:rPr>
        <w:t xml:space="preserve">OPE support with your application if you are applying for a </w:t>
      </w:r>
      <w:r w:rsidR="00A81976">
        <w:rPr>
          <w:rFonts w:ascii="KievitPro-Regular" w:hAnsi="KievitPro-Regular"/>
        </w:rPr>
        <w:t>faculty release</w:t>
      </w:r>
      <w:r w:rsidRPr="00FC722A">
        <w:rPr>
          <w:rFonts w:ascii="KievitPro-Regular" w:hAnsi="KievitPro-Regular"/>
        </w:rPr>
        <w:t>. This can be included as an email or an attachment to your online grant application.</w:t>
      </w:r>
      <w:r w:rsidRPr="00FC722A">
        <w:rPr>
          <w:rFonts w:ascii="KievitPro-Regular" w:hAnsi="KievitPro-Regular"/>
          <w:b/>
        </w:rPr>
        <w:t xml:space="preserve"> </w:t>
      </w:r>
    </w:p>
    <w:p w14:paraId="3FA0F6A3" w14:textId="77777777" w:rsidR="00FC722A" w:rsidRPr="00FC722A" w:rsidRDefault="00FC722A" w:rsidP="00FC722A">
      <w:pPr>
        <w:pStyle w:val="ListParagraph"/>
        <w:rPr>
          <w:rFonts w:ascii="KievitPro-Regular" w:hAnsi="KievitPro-Regular"/>
          <w:b/>
        </w:rPr>
      </w:pPr>
    </w:p>
    <w:p w14:paraId="4E64BE61" w14:textId="41759E7F" w:rsidR="007B4EB8" w:rsidRPr="00FC722A" w:rsidRDefault="007B4EB8" w:rsidP="00FC722A">
      <w:pPr>
        <w:pStyle w:val="ListParagraph"/>
        <w:numPr>
          <w:ilvl w:val="0"/>
          <w:numId w:val="15"/>
        </w:numPr>
        <w:rPr>
          <w:rFonts w:ascii="KievitPro-Regular" w:hAnsi="KievitPro-Regular"/>
        </w:rPr>
      </w:pPr>
      <w:r w:rsidRPr="00FC722A">
        <w:rPr>
          <w:rFonts w:ascii="KievitPro-Bold" w:hAnsi="KievitPro-Bold"/>
        </w:rPr>
        <w:t xml:space="preserve">Technical </w:t>
      </w:r>
      <w:r w:rsidR="00B63380">
        <w:rPr>
          <w:rFonts w:ascii="KievitPro-Bold" w:hAnsi="KievitPro-Bold"/>
        </w:rPr>
        <w:t>and Other E</w:t>
      </w:r>
      <w:r w:rsidRPr="00FC722A">
        <w:rPr>
          <w:rFonts w:ascii="KievitPro-Bold" w:hAnsi="KievitPro-Bold"/>
        </w:rPr>
        <w:t>xpenses:</w:t>
      </w:r>
      <w:r w:rsidRPr="00FC722A">
        <w:rPr>
          <w:rFonts w:ascii="KievitPro-Regular" w:hAnsi="KievitPro-Regular"/>
        </w:rPr>
        <w:t xml:space="preserve"> </w:t>
      </w:r>
      <w:r w:rsidR="00FC722A">
        <w:rPr>
          <w:rFonts w:ascii="KievitPro-Regular" w:hAnsi="KievitPro-Regular"/>
        </w:rPr>
        <w:t xml:space="preserve">These expenses </w:t>
      </w:r>
      <w:r w:rsidRPr="00FC722A">
        <w:rPr>
          <w:rFonts w:ascii="KievitPro-Regular" w:hAnsi="KievitPro-Regular"/>
        </w:rPr>
        <w:t xml:space="preserve">may include materials for the production of creative work, data collection and analysis costs, photocopying, books and journals, travel, </w:t>
      </w:r>
      <w:r w:rsidR="00FC722A">
        <w:rPr>
          <w:rFonts w:ascii="KievitPro-Regular" w:hAnsi="KievitPro-Regular"/>
        </w:rPr>
        <w:t xml:space="preserve">or </w:t>
      </w:r>
      <w:r w:rsidRPr="00FC722A">
        <w:rPr>
          <w:rFonts w:ascii="KievitPro-Regular" w:hAnsi="KievitPro-Regular"/>
        </w:rPr>
        <w:t xml:space="preserve">video and audio recordings/DVDs.  </w:t>
      </w:r>
    </w:p>
    <w:p w14:paraId="3224FE48" w14:textId="77777777" w:rsidR="00BC7EAC" w:rsidRDefault="00BC7EAC" w:rsidP="007B4EB8">
      <w:pPr>
        <w:rPr>
          <w:rFonts w:ascii="KievitPro-Bold" w:hAnsi="KievitPro-Bold"/>
        </w:rPr>
      </w:pPr>
    </w:p>
    <w:p w14:paraId="2B8C3913" w14:textId="59FBF64E" w:rsidR="007B4EB8" w:rsidRPr="00A40409" w:rsidRDefault="007B4EB8" w:rsidP="007B4EB8">
      <w:pPr>
        <w:rPr>
          <w:rFonts w:ascii="KievitPro-Bold" w:hAnsi="KievitPro-Bold"/>
          <w:caps/>
        </w:rPr>
      </w:pPr>
      <w:r w:rsidRPr="00A40409">
        <w:rPr>
          <w:rFonts w:ascii="KievitPro-Bold" w:hAnsi="KievitPro-Bold"/>
          <w:caps/>
        </w:rPr>
        <w:t xml:space="preserve">Post-Award Obligations </w:t>
      </w:r>
    </w:p>
    <w:p w14:paraId="3D765190" w14:textId="77777777" w:rsidR="007B4EB8" w:rsidRPr="00CF7118" w:rsidRDefault="007B4EB8" w:rsidP="007B4EB8">
      <w:pPr>
        <w:rPr>
          <w:rFonts w:ascii="KievitPro-Regular" w:hAnsi="KievitPro-Regular"/>
          <w:sz w:val="12"/>
          <w:szCs w:val="12"/>
        </w:rPr>
      </w:pPr>
      <w:r w:rsidRPr="00CF7118">
        <w:rPr>
          <w:rFonts w:ascii="KievitPro-Regular" w:hAnsi="KievitPro-Regular"/>
          <w:b/>
          <w:sz w:val="12"/>
          <w:szCs w:val="12"/>
        </w:rPr>
        <w:t xml:space="preserve"> </w:t>
      </w:r>
    </w:p>
    <w:p w14:paraId="4971A2DC" w14:textId="77777777" w:rsidR="000C248D" w:rsidRPr="000C248D" w:rsidRDefault="000C248D" w:rsidP="000C248D">
      <w:pPr>
        <w:pStyle w:val="ListParagraph"/>
        <w:numPr>
          <w:ilvl w:val="0"/>
          <w:numId w:val="16"/>
        </w:numPr>
        <w:rPr>
          <w:rFonts w:ascii="KievitPro-Bold" w:hAnsi="KievitPro-Bold"/>
        </w:rPr>
      </w:pPr>
      <w:r w:rsidRPr="000C248D">
        <w:rPr>
          <w:rFonts w:ascii="KievitPro-Bold" w:hAnsi="KievitPro-Bold"/>
        </w:rPr>
        <w:t>External Grant Applications:</w:t>
      </w:r>
    </w:p>
    <w:p w14:paraId="2EC06A38" w14:textId="6E5A17C6" w:rsidR="000C248D" w:rsidRDefault="007B4EB8" w:rsidP="000C248D">
      <w:pPr>
        <w:pStyle w:val="ListParagraph"/>
        <w:numPr>
          <w:ilvl w:val="1"/>
          <w:numId w:val="16"/>
        </w:numPr>
        <w:rPr>
          <w:rFonts w:ascii="KievitPro-Regular" w:hAnsi="KievitPro-Regular"/>
        </w:rPr>
      </w:pPr>
      <w:r w:rsidRPr="000C248D">
        <w:rPr>
          <w:rFonts w:ascii="KievitPro-Regular" w:hAnsi="KievitPro-Regular"/>
        </w:rPr>
        <w:t xml:space="preserve">Funds that will be used for the preparation of grant applications to external funding agencies require prior review by CSWS. </w:t>
      </w:r>
    </w:p>
    <w:p w14:paraId="114EF647" w14:textId="77777777" w:rsidR="00F0386C" w:rsidRDefault="00F0386C" w:rsidP="00F0386C">
      <w:pPr>
        <w:pStyle w:val="ListParagraph"/>
        <w:ind w:left="1440"/>
        <w:rPr>
          <w:rFonts w:ascii="KievitPro-Regular" w:hAnsi="KievitPro-Regular"/>
        </w:rPr>
      </w:pPr>
    </w:p>
    <w:p w14:paraId="3156957D" w14:textId="24E24224" w:rsidR="007B4EB8" w:rsidRPr="000C248D" w:rsidRDefault="00C4345A" w:rsidP="000C248D">
      <w:pPr>
        <w:pStyle w:val="ListParagraph"/>
        <w:numPr>
          <w:ilvl w:val="1"/>
          <w:numId w:val="16"/>
        </w:numPr>
        <w:rPr>
          <w:rFonts w:ascii="KievitPro-Regular" w:hAnsi="KievitPro-Regular"/>
        </w:rPr>
      </w:pPr>
      <w:r>
        <w:rPr>
          <w:rFonts w:ascii="KievitPro-Regular" w:hAnsi="KievitPro-Regular"/>
        </w:rPr>
        <w:t>CSWS must receive acknowledgement if external funds are generated from grant applications supported by CSWS grants</w:t>
      </w:r>
      <w:r w:rsidR="007B4EB8" w:rsidRPr="000C248D">
        <w:rPr>
          <w:rFonts w:ascii="KievitPro-Regular" w:hAnsi="KievitPro-Regular"/>
        </w:rPr>
        <w:t>, with indirect cost credits assigned to CSWS.</w:t>
      </w:r>
      <w:r w:rsidR="007B4EB8" w:rsidRPr="000C248D">
        <w:rPr>
          <w:rFonts w:ascii="KievitPro-Regular" w:hAnsi="KievitPro-Regular"/>
          <w:b/>
        </w:rPr>
        <w:t xml:space="preserve">  </w:t>
      </w:r>
      <w:r w:rsidR="007B4EB8" w:rsidRPr="000C248D">
        <w:rPr>
          <w:rFonts w:ascii="KievitPro-Regular" w:hAnsi="KievitPro-Regular"/>
        </w:rPr>
        <w:t xml:space="preserve"> </w:t>
      </w:r>
    </w:p>
    <w:p w14:paraId="61B1AC5B"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6851A46E" w14:textId="77777777" w:rsidR="000C248D" w:rsidRDefault="007B4EB8" w:rsidP="000C248D">
      <w:pPr>
        <w:pStyle w:val="ListParagraph"/>
        <w:numPr>
          <w:ilvl w:val="0"/>
          <w:numId w:val="16"/>
        </w:numPr>
        <w:rPr>
          <w:rFonts w:ascii="KievitPro-Bold" w:hAnsi="KievitPro-Bold"/>
        </w:rPr>
      </w:pPr>
      <w:r w:rsidRPr="000C248D">
        <w:rPr>
          <w:rFonts w:ascii="KievitPro-Bold" w:hAnsi="KievitPro-Bold"/>
        </w:rPr>
        <w:t xml:space="preserve">General Requirements: </w:t>
      </w:r>
    </w:p>
    <w:p w14:paraId="5C661B2F" w14:textId="77777777" w:rsidR="002E49D9" w:rsidRPr="002E49D9" w:rsidRDefault="002E49D9" w:rsidP="002E49D9">
      <w:pPr>
        <w:ind w:firstLine="720"/>
        <w:rPr>
          <w:rFonts w:ascii="KievitPro-Bold" w:hAnsi="KievitPro-Bold"/>
        </w:rPr>
      </w:pPr>
      <w:r w:rsidRPr="002E49D9">
        <w:rPr>
          <w:rFonts w:ascii="KievitPro-Regular" w:hAnsi="KievitPro-Regular"/>
        </w:rPr>
        <w:t xml:space="preserve">Grant awardees must: </w:t>
      </w:r>
    </w:p>
    <w:p w14:paraId="643148D9" w14:textId="0257B4C3" w:rsidR="00C4345A" w:rsidRPr="00C64CA7" w:rsidRDefault="00C64CA7" w:rsidP="00C4345A">
      <w:pPr>
        <w:pStyle w:val="ListParagraph"/>
        <w:numPr>
          <w:ilvl w:val="1"/>
          <w:numId w:val="16"/>
        </w:numPr>
        <w:rPr>
          <w:rFonts w:ascii="Calibri" w:eastAsia="Times New Roman" w:hAnsi="Calibri" w:cs="Calibri"/>
          <w:color w:val="000000"/>
        </w:rPr>
      </w:pPr>
      <w:r w:rsidRPr="00C64CA7">
        <w:rPr>
          <w:rFonts w:ascii="Calibri" w:eastAsia="Times New Roman" w:hAnsi="Calibri" w:cs="Calibri"/>
          <w:b/>
          <w:bCs/>
          <w:color w:val="000000"/>
        </w:rPr>
        <w:t>Serve on a CSWS grant committee</w:t>
      </w:r>
      <w:r w:rsidRPr="00C64CA7">
        <w:rPr>
          <w:rFonts w:ascii="Calibri" w:eastAsia="Times New Roman" w:hAnsi="Calibri" w:cs="Calibri"/>
          <w:color w:val="000000"/>
        </w:rPr>
        <w:t xml:space="preserve"> – </w:t>
      </w:r>
      <w:r w:rsidR="00C4345A" w:rsidRPr="00C64CA7">
        <w:rPr>
          <w:rFonts w:ascii="Calibri" w:eastAsia="Times New Roman" w:hAnsi="Calibri" w:cs="Calibri"/>
          <w:color w:val="000000"/>
        </w:rPr>
        <w:t>We rely on successful recipient to forward the research mission of CSWS by bringing their expertise to bear as grant reviewers. Therefore, we expect successful applicants to serve twice on CSWS grant review committees.</w:t>
      </w:r>
    </w:p>
    <w:p w14:paraId="03F1896A" w14:textId="77777777" w:rsidR="00C4345A" w:rsidRPr="00C4345A" w:rsidRDefault="00C4345A" w:rsidP="00C4345A">
      <w:pPr>
        <w:pStyle w:val="ListParagraph"/>
        <w:ind w:left="1440"/>
        <w:rPr>
          <w:rFonts w:ascii="KievitPro-Bold" w:hAnsi="KievitPro-Bold"/>
          <w:highlight w:val="yellow"/>
        </w:rPr>
      </w:pPr>
    </w:p>
    <w:p w14:paraId="096540F0" w14:textId="3A029F0F" w:rsidR="00F0386C" w:rsidRPr="00C64CA7" w:rsidRDefault="00C64CA7" w:rsidP="00C4345A">
      <w:pPr>
        <w:pStyle w:val="ListParagraph"/>
        <w:numPr>
          <w:ilvl w:val="1"/>
          <w:numId w:val="16"/>
        </w:numPr>
        <w:rPr>
          <w:rFonts w:ascii="KievitPro-Bold" w:hAnsi="KievitPro-Bold"/>
        </w:rPr>
      </w:pPr>
      <w:r w:rsidRPr="00C64CA7">
        <w:rPr>
          <w:rFonts w:ascii="KievitPro-Regular" w:hAnsi="KievitPro-Regular"/>
          <w:b/>
          <w:bCs/>
        </w:rPr>
        <w:t>Submit a grant report</w:t>
      </w:r>
      <w:r w:rsidRPr="00C64CA7">
        <w:rPr>
          <w:rFonts w:ascii="KievitPro-Regular" w:hAnsi="KievitPro-Regular"/>
        </w:rPr>
        <w:t xml:space="preserve"> – </w:t>
      </w:r>
      <w:r>
        <w:rPr>
          <w:rFonts w:ascii="KievitPro-Regular" w:hAnsi="KievitPro-Regular"/>
        </w:rPr>
        <w:t>Awardees must c</w:t>
      </w:r>
      <w:r w:rsidRPr="00C64CA7">
        <w:rPr>
          <w:rFonts w:ascii="Calibri" w:eastAsia="Times New Roman" w:hAnsi="Calibri" w:cs="Calibri"/>
          <w:color w:val="000000"/>
        </w:rPr>
        <w:t>ontribute a short</w:t>
      </w:r>
      <w:r>
        <w:rPr>
          <w:rFonts w:ascii="Calibri" w:eastAsia="Times New Roman" w:hAnsi="Calibri" w:cs="Calibri"/>
          <w:color w:val="000000"/>
        </w:rPr>
        <w:t>, general-audience</w:t>
      </w:r>
      <w:r w:rsidRPr="00C64CA7">
        <w:rPr>
          <w:rFonts w:ascii="Calibri" w:eastAsia="Times New Roman" w:hAnsi="Calibri" w:cs="Calibri"/>
          <w:color w:val="000000"/>
        </w:rPr>
        <w:t xml:space="preserve"> article (with images) on some aspect of </w:t>
      </w:r>
      <w:r>
        <w:rPr>
          <w:rFonts w:ascii="Calibri" w:eastAsia="Times New Roman" w:hAnsi="Calibri" w:cs="Calibri"/>
          <w:color w:val="000000"/>
        </w:rPr>
        <w:t>the grant</w:t>
      </w:r>
      <w:r w:rsidRPr="00C64CA7">
        <w:rPr>
          <w:rFonts w:ascii="Calibri" w:eastAsia="Times New Roman" w:hAnsi="Calibri" w:cs="Calibri"/>
          <w:color w:val="000000"/>
        </w:rPr>
        <w:t xml:space="preserve"> project for the </w:t>
      </w:r>
      <w:r>
        <w:rPr>
          <w:rFonts w:ascii="Calibri" w:eastAsia="Times New Roman" w:hAnsi="Calibri" w:cs="Calibri"/>
          <w:color w:val="000000"/>
        </w:rPr>
        <w:t xml:space="preserve">CSWS </w:t>
      </w:r>
      <w:r w:rsidRPr="00C64CA7">
        <w:rPr>
          <w:rFonts w:ascii="Calibri" w:eastAsia="Times New Roman" w:hAnsi="Calibri" w:cs="Calibri"/>
          <w:i/>
          <w:iCs/>
          <w:color w:val="000000"/>
        </w:rPr>
        <w:t>Annual Review</w:t>
      </w:r>
      <w:r>
        <w:rPr>
          <w:rFonts w:ascii="Calibri" w:eastAsia="Times New Roman" w:hAnsi="Calibri" w:cs="Calibri"/>
          <w:color w:val="000000"/>
        </w:rPr>
        <w:t xml:space="preserve"> by the end of the grant year (June 30).</w:t>
      </w:r>
      <w:r w:rsidR="00C4345A" w:rsidRPr="00C64CA7">
        <w:rPr>
          <w:rFonts w:ascii="KievitPro-Regular" w:hAnsi="KievitPro-Regular"/>
        </w:rPr>
        <w:t xml:space="preserve"> </w:t>
      </w:r>
      <w:r>
        <w:rPr>
          <w:rFonts w:ascii="KievitPro-Regular" w:hAnsi="KievitPro-Regular"/>
        </w:rPr>
        <w:t xml:space="preserve">Grantees will be provided with article guidelines and submission requirements mid-way through the grant year. </w:t>
      </w:r>
      <w:r w:rsidRPr="00C64CA7">
        <w:rPr>
          <w:rFonts w:ascii="KievitPro-Regular" w:hAnsi="KievitPro-Regular"/>
        </w:rPr>
        <w:t xml:space="preserve">Failure to submit </w:t>
      </w:r>
      <w:r>
        <w:rPr>
          <w:rFonts w:ascii="KievitPro-Regular" w:hAnsi="KievitPro-Regular"/>
        </w:rPr>
        <w:t>grant</w:t>
      </w:r>
      <w:r w:rsidRPr="00C64CA7">
        <w:rPr>
          <w:rFonts w:ascii="KievitPro-Regular" w:hAnsi="KievitPro-Regular"/>
        </w:rPr>
        <w:t xml:space="preserve"> reports will result in ineligibility for future CSWS grants.</w:t>
      </w:r>
    </w:p>
    <w:p w14:paraId="30007A74" w14:textId="4A93D940" w:rsidR="00F0386C" w:rsidRPr="00F0386C" w:rsidRDefault="00F0386C" w:rsidP="00F0386C">
      <w:pPr>
        <w:rPr>
          <w:rFonts w:ascii="KievitPro-Bold" w:hAnsi="KievitPro-Bold"/>
        </w:rPr>
      </w:pPr>
    </w:p>
    <w:p w14:paraId="20E8FC94" w14:textId="52BDB2E8" w:rsidR="00C62C24" w:rsidRPr="00F0386C" w:rsidRDefault="007B4EB8" w:rsidP="00C62C24">
      <w:pPr>
        <w:pStyle w:val="ListParagraph"/>
        <w:numPr>
          <w:ilvl w:val="1"/>
          <w:numId w:val="16"/>
        </w:numPr>
        <w:rPr>
          <w:rFonts w:ascii="KievitPro-Bold" w:hAnsi="KievitPro-Bold"/>
        </w:rPr>
      </w:pPr>
      <w:r w:rsidRPr="00C64CA7">
        <w:rPr>
          <w:rFonts w:ascii="KievitPro-Regular" w:hAnsi="KievitPro-Regular"/>
          <w:b/>
          <w:bCs/>
        </w:rPr>
        <w:t>Share your res</w:t>
      </w:r>
      <w:r w:rsidR="002E49D9" w:rsidRPr="00C64CA7">
        <w:rPr>
          <w:rFonts w:ascii="KievitPro-Regular" w:hAnsi="KievitPro-Regular"/>
          <w:b/>
          <w:bCs/>
        </w:rPr>
        <w:t>earch</w:t>
      </w:r>
      <w:r w:rsidR="00C64CA7">
        <w:rPr>
          <w:rFonts w:ascii="KievitPro-Regular" w:hAnsi="KievitPro-Regular"/>
        </w:rPr>
        <w:t xml:space="preserve"> –</w:t>
      </w:r>
      <w:r w:rsidR="002E49D9">
        <w:rPr>
          <w:rFonts w:ascii="KievitPro-Regular" w:hAnsi="KievitPro-Regular"/>
        </w:rPr>
        <w:t xml:space="preserve"> </w:t>
      </w:r>
      <w:r w:rsidRPr="00C62C24">
        <w:rPr>
          <w:rFonts w:ascii="KievitPro-Regular" w:hAnsi="KievitPro-Regular"/>
        </w:rPr>
        <w:t xml:space="preserve">You may be asked to </w:t>
      </w:r>
      <w:r w:rsidR="00C64CA7">
        <w:rPr>
          <w:rFonts w:ascii="KievitPro-Regular" w:hAnsi="KievitPro-Regular"/>
        </w:rPr>
        <w:t>share your work with the CSWS community</w:t>
      </w:r>
      <w:r w:rsidRPr="00C62C24">
        <w:rPr>
          <w:rFonts w:ascii="KievitPro-Regular" w:hAnsi="KievitPro-Regular"/>
        </w:rPr>
        <w:t xml:space="preserve"> by giv</w:t>
      </w:r>
      <w:r w:rsidR="002E49D9">
        <w:rPr>
          <w:rFonts w:ascii="KievitPro-Regular" w:hAnsi="KievitPro-Regular"/>
        </w:rPr>
        <w:t>ing a noon presentation at CSWS</w:t>
      </w:r>
      <w:r w:rsidR="00C64CA7">
        <w:rPr>
          <w:rFonts w:ascii="KievitPro-Regular" w:hAnsi="KievitPro-Regular"/>
        </w:rPr>
        <w:t>,</w:t>
      </w:r>
      <w:r w:rsidRPr="00C62C24">
        <w:rPr>
          <w:rFonts w:ascii="KievitPro-Regular" w:hAnsi="KievitPro-Regular"/>
        </w:rPr>
        <w:t xml:space="preserve"> presenting your research </w:t>
      </w:r>
      <w:r w:rsidR="00C4345A">
        <w:rPr>
          <w:rFonts w:ascii="KievitPro-Regular" w:hAnsi="KievitPro-Regular"/>
        </w:rPr>
        <w:t>to the community outside the UO</w:t>
      </w:r>
      <w:r w:rsidR="00C64CA7">
        <w:rPr>
          <w:rFonts w:ascii="KievitPro-Regular" w:hAnsi="KievitPro-Regular"/>
        </w:rPr>
        <w:t>,</w:t>
      </w:r>
      <w:r w:rsidRPr="00C62C24">
        <w:rPr>
          <w:rFonts w:ascii="KievitPro-Regular" w:hAnsi="KievitPro-Regular"/>
        </w:rPr>
        <w:t xml:space="preserve"> or contributing to </w:t>
      </w:r>
      <w:r w:rsidR="00C4345A">
        <w:rPr>
          <w:rFonts w:ascii="KievitPro-Regular" w:hAnsi="KievitPro-Regular"/>
        </w:rPr>
        <w:t>other</w:t>
      </w:r>
      <w:r w:rsidRPr="00C62C24">
        <w:rPr>
          <w:rFonts w:ascii="KievitPro-Regular" w:hAnsi="KievitPro-Regular"/>
        </w:rPr>
        <w:t xml:space="preserve"> research publications (such as </w:t>
      </w:r>
      <w:r w:rsidRPr="002E49D9">
        <w:rPr>
          <w:rFonts w:ascii="KievitPro-Italic" w:hAnsi="KievitPro-Italic"/>
        </w:rPr>
        <w:t>Research Matters</w:t>
      </w:r>
      <w:r w:rsidRPr="00C62C24">
        <w:rPr>
          <w:rFonts w:ascii="KievitPro-Regular" w:hAnsi="KievitPro-Regular"/>
        </w:rPr>
        <w:t xml:space="preserve">) at some point within a three-year period. </w:t>
      </w:r>
    </w:p>
    <w:p w14:paraId="0201B562" w14:textId="6260CFA0" w:rsidR="00F0386C" w:rsidRPr="00F0386C" w:rsidRDefault="00F0386C" w:rsidP="00F0386C">
      <w:pPr>
        <w:rPr>
          <w:rFonts w:ascii="KievitPro-Bold" w:hAnsi="KievitPro-Bold"/>
        </w:rPr>
      </w:pPr>
    </w:p>
    <w:p w14:paraId="30BFD463" w14:textId="08C2087D" w:rsidR="00A92AD5" w:rsidRPr="00C4345A" w:rsidRDefault="00C64CA7" w:rsidP="007B4EB8">
      <w:pPr>
        <w:pStyle w:val="ListParagraph"/>
        <w:numPr>
          <w:ilvl w:val="1"/>
          <w:numId w:val="16"/>
        </w:numPr>
        <w:rPr>
          <w:rFonts w:ascii="KievitPro-Bold" w:hAnsi="KievitPro-Bold"/>
        </w:rPr>
      </w:pPr>
      <w:r>
        <w:rPr>
          <w:rFonts w:ascii="KievitPro-Regular" w:hAnsi="KievitPro-Regular"/>
          <w:b/>
          <w:bCs/>
        </w:rPr>
        <w:t>Acknowledge CSWS and f</w:t>
      </w:r>
      <w:r w:rsidRPr="00C64CA7">
        <w:rPr>
          <w:rFonts w:ascii="KievitPro-Regular" w:hAnsi="KievitPro-Regular"/>
          <w:b/>
          <w:bCs/>
        </w:rPr>
        <w:t>ollow-up</w:t>
      </w:r>
      <w:r>
        <w:rPr>
          <w:rFonts w:ascii="KievitPro-Regular" w:hAnsi="KievitPro-Regular"/>
          <w:b/>
          <w:bCs/>
        </w:rPr>
        <w:t xml:space="preserve"> </w:t>
      </w:r>
      <w:r>
        <w:rPr>
          <w:rFonts w:ascii="KievitPro-Regular" w:hAnsi="KievitPro-Regular"/>
        </w:rPr>
        <w:t xml:space="preserve">– </w:t>
      </w:r>
      <w:r w:rsidR="00C4345A" w:rsidRPr="00C62C24">
        <w:rPr>
          <w:rFonts w:ascii="KievitPro-Regular" w:hAnsi="KievitPro-Regular"/>
        </w:rPr>
        <w:t xml:space="preserve">Notify CSWS about any publications or grants that result from CSWS funded research. </w:t>
      </w:r>
      <w:r>
        <w:rPr>
          <w:rFonts w:ascii="KievitPro-Regular" w:hAnsi="KievitPro-Regular"/>
        </w:rPr>
        <w:t>In addition, a</w:t>
      </w:r>
      <w:r w:rsidR="007B4EB8" w:rsidRPr="00C4345A">
        <w:rPr>
          <w:rFonts w:ascii="KievitPro-Regular" w:hAnsi="KievitPro-Regular"/>
        </w:rPr>
        <w:t>cknowledge CSWS support in all publications</w:t>
      </w:r>
      <w:r w:rsidR="002E49D9" w:rsidRPr="00C4345A">
        <w:rPr>
          <w:rFonts w:ascii="KievitPro-Regular" w:hAnsi="KievitPro-Regular"/>
        </w:rPr>
        <w:t xml:space="preserve"> and promotional materials,</w:t>
      </w:r>
      <w:r w:rsidR="007B4EB8" w:rsidRPr="00C4345A">
        <w:rPr>
          <w:rFonts w:ascii="KievitPro-Regular" w:hAnsi="KievitPro-Regular"/>
        </w:rPr>
        <w:t xml:space="preserve"> including web </w:t>
      </w:r>
      <w:r w:rsidR="007B4EB8" w:rsidRPr="00C4345A">
        <w:rPr>
          <w:rFonts w:ascii="KievitPro-Regular" w:hAnsi="KievitPro-Regular"/>
        </w:rPr>
        <w:lastRenderedPageBreak/>
        <w:t>publications and web sites, videos</w:t>
      </w:r>
      <w:r w:rsidR="002E49D9" w:rsidRPr="00C4345A">
        <w:rPr>
          <w:rFonts w:ascii="KievitPro-Regular" w:hAnsi="KievitPro-Regular"/>
        </w:rPr>
        <w:t>,</w:t>
      </w:r>
      <w:r w:rsidR="007B4EB8" w:rsidRPr="00C4345A">
        <w:rPr>
          <w:rFonts w:ascii="KievitPro-Regular" w:hAnsi="KievitPro-Regular"/>
        </w:rPr>
        <w:t xml:space="preserve"> and/or creative work resulting from this grant. </w:t>
      </w:r>
    </w:p>
    <w:p w14:paraId="21EAE285" w14:textId="6EE70BE2" w:rsidR="007B4EB8" w:rsidRPr="007B4EB8" w:rsidRDefault="007B4EB8" w:rsidP="007B4EB8">
      <w:pPr>
        <w:rPr>
          <w:rFonts w:ascii="KievitPro-Regular" w:hAnsi="KievitPro-Regular"/>
        </w:rPr>
      </w:pPr>
      <w:r w:rsidRPr="007B4EB8">
        <w:rPr>
          <w:rFonts w:ascii="KievitPro-Regular" w:hAnsi="KievitPro-Regular"/>
          <w:b/>
        </w:rPr>
        <w:t xml:space="preserve">  </w:t>
      </w: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01BD8469"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C4345A">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p>
    <w:p w14:paraId="79406718" w14:textId="77777777" w:rsidR="00C4345A" w:rsidRPr="00C4345A" w:rsidRDefault="00C4345A" w:rsidP="00C4345A">
      <w:pPr>
        <w:rPr>
          <w:rFonts w:ascii="KievitPro-Regular" w:hAnsi="KievitPro-Regular"/>
        </w:rPr>
      </w:pPr>
    </w:p>
    <w:p w14:paraId="77F41779" w14:textId="5E8D4EF0"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77777777" w:rsidR="009F544E" w:rsidRDefault="007B4EB8" w:rsidP="009F544E">
      <w:pPr>
        <w:pStyle w:val="ListParagraph"/>
        <w:numPr>
          <w:ilvl w:val="0"/>
          <w:numId w:val="17"/>
        </w:numPr>
        <w:rPr>
          <w:rFonts w:ascii="KievitPro-Regular" w:hAnsi="KievitPro-Regular"/>
        </w:rPr>
      </w:pPr>
      <w:r w:rsidRPr="001C43C5">
        <w:rPr>
          <w:rFonts w:ascii="KievitPro-Bold" w:hAnsi="KievitPro-Bold"/>
        </w:rPr>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p>
    <w:p w14:paraId="25296FB4" w14:textId="785344C9"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2D82C4FD" w14:textId="77777777" w:rsidR="00F0386C" w:rsidRPr="00F0386C" w:rsidRDefault="00F0386C" w:rsidP="00F0386C">
      <w:pPr>
        <w:ind w:left="1080"/>
        <w:rPr>
          <w:rFonts w:ascii="KievitPro-Regular" w:hAnsi="KievitPro-Regular"/>
        </w:rPr>
      </w:pPr>
    </w:p>
    <w:p w14:paraId="0B4E98C2" w14:textId="35A8624E"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17D022D4" w14:textId="04179A9B" w:rsidR="00F0386C" w:rsidRPr="00F0386C" w:rsidRDefault="00F0386C" w:rsidP="00F0386C">
      <w:pPr>
        <w:rPr>
          <w:rFonts w:ascii="KievitPro-Regular" w:hAnsi="KievitPro-Regular"/>
        </w:rPr>
      </w:pPr>
    </w:p>
    <w:p w14:paraId="3773CD54" w14:textId="77777777" w:rsidR="00F0386C"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 xml:space="preserve">Proposals that are primarily theoretical or involve the production of art, music, performance, or other creative material should discuss the relevant scholarly processes that </w:t>
      </w:r>
      <w:r w:rsidRPr="009F544E">
        <w:rPr>
          <w:rFonts w:ascii="KievitPro-Regular" w:hAnsi="KievitPro-Regular"/>
        </w:rPr>
        <w:lastRenderedPageBreak/>
        <w:t>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w:t>
      </w:r>
    </w:p>
    <w:p w14:paraId="77480B32" w14:textId="68203A91" w:rsidR="009F544E" w:rsidRDefault="007B4EB8" w:rsidP="00F0386C">
      <w:pPr>
        <w:pStyle w:val="ListParagraph"/>
        <w:ind w:left="1440"/>
        <w:rPr>
          <w:rFonts w:ascii="KievitPro-Regular" w:hAnsi="KievitPro-Regular"/>
        </w:rPr>
      </w:pPr>
      <w:r w:rsidRPr="009F544E">
        <w:rPr>
          <w:rFonts w:ascii="KievitPro-Regular" w:hAnsi="KievitPro-Regular"/>
        </w:rPr>
        <w:t xml:space="preserve"> </w:t>
      </w: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B757F06"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4B1F6B00" w14:textId="77777777" w:rsidR="00C4345A" w:rsidRPr="00C4345A" w:rsidRDefault="00C4345A" w:rsidP="00C4345A">
      <w:pPr>
        <w:pStyle w:val="ListParagraph"/>
        <w:rPr>
          <w:rFonts w:ascii="KievitPro-Regular" w:hAnsi="KievitPro-Regular"/>
        </w:rPr>
      </w:pPr>
    </w:p>
    <w:p w14:paraId="4596F41A" w14:textId="58BAA79D" w:rsidR="00C4345A" w:rsidRPr="00C4345A" w:rsidRDefault="00B63380" w:rsidP="00C4345A">
      <w:pPr>
        <w:pStyle w:val="ListParagraph"/>
        <w:numPr>
          <w:ilvl w:val="0"/>
          <w:numId w:val="17"/>
        </w:numPr>
        <w:rPr>
          <w:rFonts w:ascii="KievitPro-Regular" w:hAnsi="KievitPro-Regular"/>
          <w:b/>
          <w:bCs/>
        </w:rPr>
      </w:pPr>
      <w:r>
        <w:rPr>
          <w:rFonts w:ascii="KievitPro-Regular" w:hAnsi="KievitPro-Regular"/>
          <w:b/>
          <w:bCs/>
        </w:rPr>
        <w:t>All a</w:t>
      </w:r>
      <w:r w:rsidR="00C4345A" w:rsidRPr="00C4345A">
        <w:rPr>
          <w:rFonts w:ascii="KievitPro-Regular" w:hAnsi="KievitPro-Regular"/>
          <w:b/>
          <w:bCs/>
        </w:rPr>
        <w:t xml:space="preserve">ttachments must be submitted in </w:t>
      </w:r>
      <w:r>
        <w:rPr>
          <w:rFonts w:ascii="KievitPro-Regular" w:hAnsi="KievitPro-Regular"/>
          <w:b/>
          <w:bCs/>
        </w:rPr>
        <w:t xml:space="preserve">a single </w:t>
      </w:r>
      <w:r w:rsidR="00C4345A" w:rsidRPr="00C4345A">
        <w:rPr>
          <w:rFonts w:ascii="KievitPro-Regular" w:hAnsi="KievitPro-Regular"/>
          <w:b/>
          <w:bCs/>
        </w:rPr>
        <w:t xml:space="preserve">PDF </w:t>
      </w:r>
      <w:r>
        <w:rPr>
          <w:rFonts w:ascii="KievitPro-Regular" w:hAnsi="KievitPro-Regular"/>
          <w:b/>
          <w:bCs/>
        </w:rPr>
        <w:t>file</w:t>
      </w:r>
      <w:r w:rsidR="00C4345A" w:rsidRPr="00C4345A">
        <w:rPr>
          <w:rFonts w:ascii="KievitPro-Regular" w:hAnsi="KievitPro-Regular"/>
          <w:b/>
          <w:bCs/>
        </w:rPr>
        <w:t xml:space="preserve"> via email to </w:t>
      </w:r>
      <w:hyperlink r:id="rId7" w:history="1">
        <w:r w:rsidR="00C4345A" w:rsidRPr="00C4345A">
          <w:rPr>
            <w:rStyle w:val="Hyperlink"/>
            <w:rFonts w:ascii="KievitPro-Regular" w:hAnsi="KievitPro-Regular"/>
            <w:b/>
            <w:bCs/>
          </w:rPr>
          <w:t>cswsgrants@uoregon.edu</w:t>
        </w:r>
      </w:hyperlink>
      <w:r w:rsidR="00C4345A" w:rsidRPr="00C4345A">
        <w:rPr>
          <w:rFonts w:ascii="KievitPro-Regular" w:hAnsi="KievitPro-Regular"/>
          <w:b/>
          <w:bCs/>
          <w:u w:val="single"/>
        </w:rPr>
        <w:t>.</w:t>
      </w:r>
    </w:p>
    <w:p w14:paraId="4DA79E1A"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3BC8F9BD"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 xml:space="preserve">ecisions are made by a CSWS review committee that includes faculty members from </w:t>
      </w:r>
      <w:r w:rsidR="00C4345A">
        <w:rPr>
          <w:rFonts w:ascii="KievitPro-Regular" w:hAnsi="KievitPro-Regular"/>
        </w:rPr>
        <w:t>across the disciplines</w:t>
      </w:r>
      <w:r>
        <w:rPr>
          <w:rFonts w:ascii="KievitPro-Regular" w:hAnsi="KievitPro-Regular"/>
        </w:rPr>
        <w:t xml:space="preserve">.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junior faculty members and/or faculty members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65A3A6C6"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3756C4">
        <w:rPr>
          <w:rFonts w:ascii="KievitPro-Regular" w:hAnsi="KievitPro-Regular"/>
        </w:rPr>
        <w:t>, including any attachments via email,</w:t>
      </w:r>
      <w:r w:rsidRPr="007B4EB8">
        <w:rPr>
          <w:rFonts w:ascii="KievitPro-Regular" w:hAnsi="KievitPro-Regular"/>
        </w:rPr>
        <w:t xml:space="preserve"> no later than 5:00 p.m. </w:t>
      </w:r>
      <w:r w:rsidR="003756C4">
        <w:rPr>
          <w:rFonts w:ascii="KievitPro-Regular" w:hAnsi="KievitPro-Regular"/>
        </w:rPr>
        <w:t xml:space="preserve">on January </w:t>
      </w:r>
      <w:r w:rsidR="00C4345A">
        <w:rPr>
          <w:rFonts w:ascii="KievitPro-Regular" w:hAnsi="KievitPro-Regular"/>
        </w:rPr>
        <w:t>31</w:t>
      </w:r>
      <w:r w:rsidR="003756C4">
        <w:rPr>
          <w:rFonts w:ascii="KievitPro-Regular" w:hAnsi="KievitPro-Regular"/>
        </w:rPr>
        <w:t>, 20</w:t>
      </w:r>
      <w:r w:rsidR="00B45BB8">
        <w:rPr>
          <w:rFonts w:ascii="KievitPro-Regular" w:hAnsi="KievitPro-Regular"/>
        </w:rPr>
        <w:t>2</w:t>
      </w:r>
      <w:r w:rsidR="00C4345A">
        <w:rPr>
          <w:rFonts w:ascii="KievitPro-Regular" w:hAnsi="KievitPro-Regular"/>
        </w:rPr>
        <w:t>2</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B63380">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A7B3" w14:textId="77777777" w:rsidR="00346514" w:rsidRDefault="00346514" w:rsidP="008A15CE">
      <w:r>
        <w:separator/>
      </w:r>
    </w:p>
  </w:endnote>
  <w:endnote w:type="continuationSeparator" w:id="0">
    <w:p w14:paraId="5CFD0FA3" w14:textId="77777777" w:rsidR="00346514" w:rsidRDefault="00346514"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532D81A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6076" w14:textId="77777777" w:rsidR="00346514" w:rsidRDefault="00346514" w:rsidP="008A15CE">
      <w:r>
        <w:separator/>
      </w:r>
    </w:p>
  </w:footnote>
  <w:footnote w:type="continuationSeparator" w:id="0">
    <w:p w14:paraId="09200753" w14:textId="77777777" w:rsidR="00346514" w:rsidRDefault="00346514"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5EF8CE46" w:rsidR="00F1527D" w:rsidRPr="00B63380"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Faculty/Staff </w:t>
    </w:r>
    <w:r w:rsidRPr="0077256D">
      <w:rPr>
        <w:rFonts w:ascii="KievitPro-Italic" w:hAnsi="KievitPro-Italic"/>
        <w:sz w:val="18"/>
        <w:szCs w:val="18"/>
      </w:rPr>
      <w:t>Research Grant Application Guidelines</w:t>
    </w:r>
    <w:r w:rsidR="00B63380">
      <w:rPr>
        <w:rFonts w:ascii="KievitPro-Italic" w:hAnsi="KievitPro-Italic"/>
        <w:sz w:val="18"/>
        <w:szCs w:val="18"/>
      </w:rPr>
      <w:t xml:space="preserve"> </w:t>
    </w:r>
    <w:r>
      <w:rPr>
        <w:rFonts w:ascii="KievitPro-Italic" w:hAnsi="KievitPro-Italic"/>
        <w:sz w:val="18"/>
        <w:szCs w:val="18"/>
      </w:rPr>
      <w:t>AY 20</w:t>
    </w:r>
    <w:r w:rsidR="00B45BB8">
      <w:rPr>
        <w:rFonts w:ascii="KievitPro-Italic" w:hAnsi="KievitPro-Italic"/>
        <w:sz w:val="18"/>
        <w:szCs w:val="18"/>
      </w:rPr>
      <w:t>2</w:t>
    </w:r>
    <w:r w:rsidR="00B63380">
      <w:rPr>
        <w:rFonts w:ascii="KievitPro-Italic" w:hAnsi="KievitPro-Italic"/>
        <w:sz w:val="18"/>
        <w:szCs w:val="18"/>
      </w:rPr>
      <w:t>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63A23594">
              <wp:simplePos x="0" y="0"/>
              <wp:positionH relativeFrom="margin">
                <wp:posOffset>2103755</wp:posOffset>
              </wp:positionH>
              <wp:positionV relativeFrom="paragraph">
                <wp:posOffset>-158190</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02623FD2"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C4345A">
                            <w:rPr>
                              <w:rFonts w:ascii="KievitPro-BoldItalic" w:hAnsi="KievitPro-BoldItalic"/>
                              <w:sz w:val="28"/>
                              <w:szCs w:val="28"/>
                            </w:rPr>
                            <w:t>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2.4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" stroked="f">
              <v:textbox style="mso-fit-shape-to-text:t">
                <w:txbxContent>
                  <w:p w14:paraId="12AA48CE" w14:textId="77777777"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02623FD2"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Academic Year 20</w:t>
                    </w:r>
                    <w:r w:rsidR="00B45BB8">
                      <w:rPr>
                        <w:rFonts w:ascii="KievitPro-BoldItalic" w:hAnsi="KievitPro-BoldItalic"/>
                        <w:sz w:val="28"/>
                        <w:szCs w:val="28"/>
                      </w:rPr>
                      <w:t>2</w:t>
                    </w:r>
                    <w:r w:rsidR="00C4345A">
                      <w:rPr>
                        <w:rFonts w:ascii="KievitPro-BoldItalic" w:hAnsi="KievitPro-BoldItalic"/>
                        <w:sz w:val="28"/>
                        <w:szCs w:val="28"/>
                      </w:rPr>
                      <w:t>2-23</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1"/>
  </w:num>
  <w:num w:numId="6">
    <w:abstractNumId w:val="1"/>
  </w:num>
  <w:num w:numId="7">
    <w:abstractNumId w:val="15"/>
  </w:num>
  <w:num w:numId="8">
    <w:abstractNumId w:val="2"/>
  </w:num>
  <w:num w:numId="9">
    <w:abstractNumId w:val="0"/>
  </w:num>
  <w:num w:numId="10">
    <w:abstractNumId w:val="7"/>
  </w:num>
  <w:num w:numId="11">
    <w:abstractNumId w:val="16"/>
  </w:num>
  <w:num w:numId="12">
    <w:abstractNumId w:val="10"/>
  </w:num>
  <w:num w:numId="13">
    <w:abstractNumId w:val="14"/>
  </w:num>
  <w:num w:numId="14">
    <w:abstractNumId w:val="5"/>
  </w:num>
  <w:num w:numId="15">
    <w:abstractNumId w:val="1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11DCB"/>
    <w:rsid w:val="00026ABB"/>
    <w:rsid w:val="000435E3"/>
    <w:rsid w:val="00045B4A"/>
    <w:rsid w:val="0008544B"/>
    <w:rsid w:val="000A3B4E"/>
    <w:rsid w:val="000A5882"/>
    <w:rsid w:val="000A5A46"/>
    <w:rsid w:val="000C248D"/>
    <w:rsid w:val="000C6EFA"/>
    <w:rsid w:val="000D72E8"/>
    <w:rsid w:val="000E1EB8"/>
    <w:rsid w:val="000E39A1"/>
    <w:rsid w:val="000F10E3"/>
    <w:rsid w:val="00106BA4"/>
    <w:rsid w:val="00117798"/>
    <w:rsid w:val="001307F9"/>
    <w:rsid w:val="0014461A"/>
    <w:rsid w:val="00176ECF"/>
    <w:rsid w:val="001864A9"/>
    <w:rsid w:val="00193B78"/>
    <w:rsid w:val="001B209F"/>
    <w:rsid w:val="001B58AD"/>
    <w:rsid w:val="001C1AC0"/>
    <w:rsid w:val="001C43C5"/>
    <w:rsid w:val="001F59AC"/>
    <w:rsid w:val="002057D5"/>
    <w:rsid w:val="002069A3"/>
    <w:rsid w:val="00234322"/>
    <w:rsid w:val="00262663"/>
    <w:rsid w:val="00264723"/>
    <w:rsid w:val="00280998"/>
    <w:rsid w:val="002956A4"/>
    <w:rsid w:val="002A5200"/>
    <w:rsid w:val="002B156D"/>
    <w:rsid w:val="002B62CB"/>
    <w:rsid w:val="002B6378"/>
    <w:rsid w:val="002E49D9"/>
    <w:rsid w:val="00346514"/>
    <w:rsid w:val="00373500"/>
    <w:rsid w:val="003756C4"/>
    <w:rsid w:val="003B4B01"/>
    <w:rsid w:val="003C00CD"/>
    <w:rsid w:val="003C0339"/>
    <w:rsid w:val="003E30FF"/>
    <w:rsid w:val="003F79A4"/>
    <w:rsid w:val="004207C1"/>
    <w:rsid w:val="004238FB"/>
    <w:rsid w:val="0046615A"/>
    <w:rsid w:val="004A3592"/>
    <w:rsid w:val="004A6D8E"/>
    <w:rsid w:val="004C0215"/>
    <w:rsid w:val="0051127D"/>
    <w:rsid w:val="005148FD"/>
    <w:rsid w:val="0052051F"/>
    <w:rsid w:val="0053719F"/>
    <w:rsid w:val="005435D8"/>
    <w:rsid w:val="00586A8B"/>
    <w:rsid w:val="005B0DE5"/>
    <w:rsid w:val="005C1D69"/>
    <w:rsid w:val="005E76E2"/>
    <w:rsid w:val="005F4AB2"/>
    <w:rsid w:val="00613180"/>
    <w:rsid w:val="00633CCB"/>
    <w:rsid w:val="00643442"/>
    <w:rsid w:val="00645BE2"/>
    <w:rsid w:val="00685FCC"/>
    <w:rsid w:val="00691AB2"/>
    <w:rsid w:val="006A5A9D"/>
    <w:rsid w:val="006F36CC"/>
    <w:rsid w:val="006F3E01"/>
    <w:rsid w:val="00704A4A"/>
    <w:rsid w:val="007359C7"/>
    <w:rsid w:val="00767517"/>
    <w:rsid w:val="0077256D"/>
    <w:rsid w:val="007A246A"/>
    <w:rsid w:val="007B4EB8"/>
    <w:rsid w:val="007F1EB8"/>
    <w:rsid w:val="007F721A"/>
    <w:rsid w:val="008166AF"/>
    <w:rsid w:val="00830355"/>
    <w:rsid w:val="00835055"/>
    <w:rsid w:val="008956F6"/>
    <w:rsid w:val="008A15CE"/>
    <w:rsid w:val="008C4096"/>
    <w:rsid w:val="008F5719"/>
    <w:rsid w:val="00935E79"/>
    <w:rsid w:val="0097363E"/>
    <w:rsid w:val="009A7B20"/>
    <w:rsid w:val="009E34D0"/>
    <w:rsid w:val="009F544E"/>
    <w:rsid w:val="009F7510"/>
    <w:rsid w:val="00A16BE5"/>
    <w:rsid w:val="00A16E05"/>
    <w:rsid w:val="00A40409"/>
    <w:rsid w:val="00A81976"/>
    <w:rsid w:val="00A92AD5"/>
    <w:rsid w:val="00AC6271"/>
    <w:rsid w:val="00AF008E"/>
    <w:rsid w:val="00AF03CD"/>
    <w:rsid w:val="00AF41C5"/>
    <w:rsid w:val="00B0717B"/>
    <w:rsid w:val="00B1355E"/>
    <w:rsid w:val="00B339BB"/>
    <w:rsid w:val="00B37C1D"/>
    <w:rsid w:val="00B45BB8"/>
    <w:rsid w:val="00B45E52"/>
    <w:rsid w:val="00B63380"/>
    <w:rsid w:val="00B91DA4"/>
    <w:rsid w:val="00B93A31"/>
    <w:rsid w:val="00BA07C3"/>
    <w:rsid w:val="00BC7EAC"/>
    <w:rsid w:val="00C14579"/>
    <w:rsid w:val="00C4345A"/>
    <w:rsid w:val="00C62C24"/>
    <w:rsid w:val="00C64CA7"/>
    <w:rsid w:val="00C84482"/>
    <w:rsid w:val="00CD1D79"/>
    <w:rsid w:val="00CF7118"/>
    <w:rsid w:val="00D1414B"/>
    <w:rsid w:val="00D67234"/>
    <w:rsid w:val="00D7047A"/>
    <w:rsid w:val="00D90CEA"/>
    <w:rsid w:val="00D94F12"/>
    <w:rsid w:val="00D97699"/>
    <w:rsid w:val="00E1012A"/>
    <w:rsid w:val="00E17236"/>
    <w:rsid w:val="00E27D15"/>
    <w:rsid w:val="00E3085D"/>
    <w:rsid w:val="00E36AA5"/>
    <w:rsid w:val="00E40C51"/>
    <w:rsid w:val="00E4544A"/>
    <w:rsid w:val="00E91B26"/>
    <w:rsid w:val="00EB25DA"/>
    <w:rsid w:val="00F0386C"/>
    <w:rsid w:val="00F11394"/>
    <w:rsid w:val="00F14524"/>
    <w:rsid w:val="00F1527D"/>
    <w:rsid w:val="00F83A13"/>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UnresolvedMention">
    <w:name w:val="Unresolved Mention"/>
    <w:basedOn w:val="DefaultParagraphFont"/>
    <w:uiPriority w:val="99"/>
    <w:semiHidden/>
    <w:unhideWhenUsed/>
    <w:rsid w:val="00E3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927">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65297122">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80776530">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wsgrants@uoreg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Jenée Wilde</cp:lastModifiedBy>
  <cp:revision>7</cp:revision>
  <cp:lastPrinted>2019-10-28T17:27:00Z</cp:lastPrinted>
  <dcterms:created xsi:type="dcterms:W3CDTF">2020-11-16T17:40:00Z</dcterms:created>
  <dcterms:modified xsi:type="dcterms:W3CDTF">2021-10-22T19:51:00Z</dcterms:modified>
</cp:coreProperties>
</file>